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513654</w:t>
      </w:r>
      <w:bookmarkStart w:id="14" w:name="_GoBack"/>
      <w:bookmarkEnd w:id="14"/>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default" w:ascii="Times New Roman" w:hAnsi="Times New Roman" w:cs="Times New Roman"/>
          <w:b/>
          <w:sz w:val="24"/>
          <w:szCs w:val="24"/>
          <w:highlight w:val="cyan"/>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szCs w:val="24"/>
          <w:highlight w:val="none"/>
        </w:rPr>
        <w:t xml:space="preserve"> 2025</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9</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4"/>
      <w:bookmarkStart w:id="3" w:name="OLE_LINK23"/>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general aspects for enhancement on AI/ML for NR air interface</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The objectives for RAN4 are duplicated as following.</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71FC8BC">
            <w:pPr>
              <w:spacing w:after="0"/>
              <w:rPr>
                <w:rFonts w:hint="default" w:ascii="Times New Roman" w:hAnsi="Times New Roman" w:cs="Times New Roman"/>
                <w:bCs/>
                <w:sz w:val="20"/>
                <w:szCs w:val="20"/>
                <w:lang w:val="en-US"/>
              </w:rPr>
            </w:pPr>
            <w:r>
              <w:rPr>
                <w:rFonts w:hint="default" w:ascii="Times New Roman" w:hAnsi="Times New Roman" w:cs="Times New Roman"/>
                <w:b/>
                <w:color w:val="0000FF"/>
                <w:sz w:val="20"/>
                <w:szCs w:val="20"/>
                <w:lang w:val="en-US"/>
              </w:rPr>
              <w:t>Inter-vendor training collaboration</w:t>
            </w:r>
            <w:r>
              <w:rPr>
                <w:rFonts w:hint="default" w:ascii="Times New Roman" w:hAnsi="Times New Roman" w:cs="Times New Roman"/>
                <w:bCs/>
                <w:color w:val="0000FF"/>
                <w:sz w:val="20"/>
                <w:szCs w:val="20"/>
                <w:lang w:val="en-US"/>
              </w:rPr>
              <w:t xml:space="preserve"> </w:t>
            </w:r>
            <w:r>
              <w:rPr>
                <w:rFonts w:hint="default" w:ascii="Times New Roman" w:hAnsi="Times New Roman" w:cs="Times New Roman"/>
                <w:bCs/>
                <w:sz w:val="20"/>
                <w:szCs w:val="20"/>
                <w:lang w:val="en-US"/>
              </w:rPr>
              <w:t xml:space="preserve">for two-sided AI/ML models </w:t>
            </w:r>
          </w:p>
          <w:p w14:paraId="7964AD3C">
            <w:pPr>
              <w:pStyle w:val="15"/>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Fully defined/specified reference model (“Direction C”) with RAN1 scalability study outcome taken into account [RAN4/RAN1] – check-point in RAN#110 upon RAN4 feedback</w:t>
            </w:r>
          </w:p>
          <w:p w14:paraId="2656C7F1">
            <w:pPr>
              <w:pStyle w:val="15"/>
              <w:numPr>
                <w:ilvl w:val="1"/>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A4126D0">
            <w:pPr>
              <w:pStyle w:val="15"/>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Specification of standardized dataset format/content plus dataset exchange (“Direction A, sub-option 4-1”) [RAN1/RAN2/RAN3/RAN4] – check-point in RAN#110 upon SA WG feedback</w:t>
            </w:r>
          </w:p>
          <w:p w14:paraId="197FAE04">
            <w:pPr>
              <w:spacing w:after="0"/>
              <w:rPr>
                <w:rFonts w:hint="default" w:ascii="Times New Roman" w:hAnsi="Times New Roman" w:cs="Times New Roman"/>
                <w:bCs/>
                <w:sz w:val="20"/>
                <w:szCs w:val="20"/>
                <w:lang w:val="en-US"/>
              </w:rPr>
            </w:pPr>
            <w:r>
              <w:rPr>
                <w:rFonts w:hint="default" w:ascii="Times New Roman" w:hAnsi="Times New Roman" w:cs="Times New Roman"/>
                <w:b/>
                <w:color w:val="0000FF"/>
                <w:sz w:val="20"/>
                <w:szCs w:val="20"/>
                <w:lang w:val="en-US"/>
              </w:rPr>
              <w:t>Interoperability and RRM requirement</w:t>
            </w:r>
            <w:r>
              <w:rPr>
                <w:rFonts w:hint="default" w:ascii="Times New Roman" w:hAnsi="Times New Roman" w:cs="Times New Roman"/>
                <w:bCs/>
                <w:color w:val="0000FF"/>
                <w:sz w:val="20"/>
                <w:szCs w:val="20"/>
                <w:lang w:val="en-US"/>
              </w:rPr>
              <w:t xml:space="preserve"> </w:t>
            </w:r>
            <w:r>
              <w:rPr>
                <w:rFonts w:hint="default" w:ascii="Times New Roman" w:hAnsi="Times New Roman" w:cs="Times New Roman"/>
                <w:bCs/>
                <w:sz w:val="20"/>
                <w:szCs w:val="20"/>
                <w:lang w:val="en-US"/>
              </w:rPr>
              <w:t>[RAN4]:</w:t>
            </w:r>
          </w:p>
          <w:p w14:paraId="52438B52">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0444A7A7">
            <w:pPr>
              <w:pStyle w:val="15"/>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58E0637E">
            <w:pPr>
              <w:pStyle w:val="15"/>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57F972ED">
            <w:pPr>
              <w:pStyle w:val="15"/>
              <w:numPr>
                <w:ilvl w:val="0"/>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347D2E4C">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sz w:val="20"/>
          <w:szCs w:val="20"/>
        </w:rPr>
      </w:pP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general aspects</w:t>
      </w:r>
      <w:r>
        <w:rPr>
          <w:rFonts w:hint="eastAsia" w:ascii="Times New Roman" w:hAnsi="Times New Roman"/>
          <w:sz w:val="20"/>
          <w:szCs w:val="20"/>
        </w:rPr>
        <w:t>.</w:t>
      </w:r>
    </w:p>
    <w:p w14:paraId="46E18B0E">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b w:val="0"/>
          <w:bCs w:val="0"/>
          <w:kern w:val="0"/>
          <w:sz w:val="36"/>
          <w:szCs w:val="36"/>
        </w:rPr>
        <w:t xml:space="preserve"> </w:t>
      </w:r>
    </w:p>
    <w:p w14:paraId="1EA78A3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Rel-19 study on CSI compression, option 3 and option 4 are considered </w:t>
      </w:r>
    </w:p>
    <w:p w14:paraId="2D0A0136">
      <w:pPr>
        <w:numPr>
          <w:ilvl w:val="0"/>
          <w:numId w:val="6"/>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3: Full decoder specification in standard (a test decoder is standardized for option 3)</w:t>
      </w:r>
    </w:p>
    <w:p w14:paraId="6BB617D7">
      <w:pPr>
        <w:numPr>
          <w:ilvl w:val="0"/>
          <w:numId w:val="6"/>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4: TE vendor provides the decoder</w:t>
      </w:r>
    </w:p>
    <w:p w14:paraId="7682A9A2">
      <w:pPr>
        <w:numPr>
          <w:ilvl w:val="0"/>
          <w:numId w:val="7"/>
        </w:numPr>
        <w:spacing w:after="180" w:line="240" w:lineRule="exact"/>
        <w:ind w:left="84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4a: Dataset based: specify at least dataset based on which the test decoder can be implemented by TE vendors</w:t>
      </w:r>
    </w:p>
    <w:p w14:paraId="2E04204B">
      <w:pPr>
        <w:numPr>
          <w:ilvl w:val="0"/>
          <w:numId w:val="7"/>
        </w:numPr>
        <w:spacing w:after="180" w:line="240" w:lineRule="exact"/>
        <w:ind w:left="84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Option 4b: Reference encoder based: encoder is documented in the specifications, used to derive a decoder to be implemented by TE vendors </w:t>
      </w:r>
    </w:p>
    <w:p w14:paraId="6A932B52">
      <w:pPr>
        <w:numPr>
          <w:ilvl w:val="0"/>
          <w:numId w:val="7"/>
        </w:numPr>
        <w:spacing w:after="180" w:line="240" w:lineRule="exact"/>
        <w:ind w:left="84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Option 4c: do not specify either reference encoder or dataset. specify enough constraints on the decoder output ordering  </w:t>
      </w:r>
    </w:p>
    <w:p w14:paraId="760530A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option 3, it further agreed to define the reference encoder including encoder structure and parameters, to verify the performance of CSI compression test decoder [2]. Dataset is specified for option 4a, furthermore, reference decoder and reference encoder need to be captured. For option 4a, for the mixed dataset, a similar observation to option 4b can be expected (in this case, the labelled dataset would be the same latent space as the selected encoder (created using joint training) acting on the mixed dataset, and so option 4a converges to option 4b).</w:t>
      </w:r>
    </w:p>
    <w:p w14:paraId="66219C4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outcome of Rel-19 study, both option 3 track 2, and option 4a or 4b are considered for the WI. Option 3 and Option 4 are similar. Both need to capture encoder, decoder and training dataset. The difference is that for option 3, the TE vendor is mandated to use the standardized test decoder. In option 4 they could choose to use the reference test decoder or to create their own based on the standardized information. </w:t>
      </w:r>
    </w:p>
    <w:p w14:paraId="2B90B5F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One of the issues identified to be discussed in WI is to discuss and align on assumptions for the test decoder and reference encoder structures [3]. </w:t>
      </w:r>
    </w:p>
    <w:p w14:paraId="355A9D6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During Rel-19 RAN4 study, for the simulations for checking the feasibility of above testing options for CSI compression and prediction, AI/ML model backbone of CNN is in use. Different encoder (Transformer, CNN and MLP) are evaluated with the reference decoder based on CNN.</w:t>
      </w:r>
    </w:p>
    <w:p w14:paraId="76018318">
      <w:pPr>
        <w:spacing w:after="180" w:line="240" w:lineRule="exact"/>
        <w:rPr>
          <w:rFonts w:hint="default" w:ascii="Times New Roman" w:hAnsi="Times New Roman" w:cs="Times New Roman"/>
          <w:sz w:val="20"/>
          <w:szCs w:val="20"/>
        </w:rPr>
      </w:pPr>
      <w:r>
        <w:rPr>
          <w:rFonts w:hint="eastAsia" w:ascii="Times New Roman" w:hAnsi="Times New Roman" w:eastAsia="等线"/>
          <w:bCs/>
          <w:iCs/>
          <w:sz w:val="20"/>
          <w:szCs w:val="20"/>
          <w:lang w:val="en-US" w:eastAsia="zh-CN"/>
        </w:rPr>
        <w:t xml:space="preserve">In RAN1 #119 meeting, it was agreed to adopt Transformer as the backbone structure for temporal domain Case 0 in case of take precoding matrix in the spatial-frequency domain in a subband granularity as the input, and the reconstructed precoding matrix in the spatial-frequency as the output. Following Figure is the </w:t>
      </w:r>
      <w:r>
        <w:rPr>
          <w:rFonts w:hint="default" w:ascii="Times New Roman" w:hAnsi="Times New Roman" w:cs="Times New Roman"/>
          <w:sz w:val="20"/>
          <w:szCs w:val="20"/>
        </w:rPr>
        <w:t>encoder structure</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considered </w:t>
      </w:r>
      <w:r>
        <w:rPr>
          <w:rFonts w:hint="eastAsia" w:ascii="Times New Roman" w:hAnsi="Times New Roman" w:cs="Times New Roman"/>
          <w:sz w:val="20"/>
          <w:szCs w:val="20"/>
          <w:lang w:val="en-US" w:eastAsia="zh-CN"/>
        </w:rPr>
        <w:t xml:space="preserve">in RAN1 </w:t>
      </w:r>
      <w:r>
        <w:rPr>
          <w:rFonts w:hint="default" w:ascii="Times New Roman" w:hAnsi="Times New Roman" w:cs="Times New Roman"/>
          <w:sz w:val="20"/>
          <w:szCs w:val="20"/>
        </w:rPr>
        <w:t>as the example in the study for Case 0 and taking spatial-frequency domain precoding matrix as input.</w:t>
      </w:r>
    </w:p>
    <w:p w14:paraId="330F188B">
      <w:pPr>
        <w:pStyle w:val="18"/>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0" distR="0">
            <wp:extent cx="5944235" cy="3609340"/>
            <wp:effectExtent l="0" t="0" r="12065" b="10160"/>
            <wp:docPr id="1494025568" name="Picture 5" descr="A screenshot of a computer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025568" name="Picture 5" descr="A screenshot of a computer diagram&#10;&#10;AI-generated content may be incorrec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944235" cy="3609340"/>
                    </a:xfrm>
                    <a:prstGeom prst="rect">
                      <a:avLst/>
                    </a:prstGeom>
                    <a:noFill/>
                  </pic:spPr>
                </pic:pic>
              </a:graphicData>
            </a:graphic>
          </wp:inline>
        </w:drawing>
      </w:r>
    </w:p>
    <w:p w14:paraId="652D6AD4">
      <w:pPr>
        <w:pStyle w:val="26"/>
        <w:overflowPunct w:val="0"/>
        <w:autoSpaceDE w:val="0"/>
        <w:autoSpaceDN w:val="0"/>
        <w:adjustRightInd w:val="0"/>
        <w:ind w:left="216" w:leftChars="90"/>
        <w:textAlignment w:val="baseline"/>
        <w:rPr>
          <w:rFonts w:hint="eastAsia" w:ascii="Times New Roman" w:hAnsi="Times New Roman" w:eastAsia="宋体" w:cs="Times New Roman"/>
          <w:sz w:val="20"/>
          <w:szCs w:val="20"/>
          <w:lang w:val="en-US" w:eastAsia="zh-CN"/>
        </w:rPr>
      </w:pPr>
      <w:r>
        <w:rPr>
          <w:rFonts w:hint="default" w:ascii="Times New Roman" w:hAnsi="Times New Roman" w:eastAsia="Times New Roman" w:cs="Times New Roman"/>
          <w:sz w:val="20"/>
          <w:szCs w:val="20"/>
          <w:lang w:eastAsia="ja-JP"/>
        </w:rPr>
        <w:t>Figure</w:t>
      </w:r>
      <w:r>
        <w:rPr>
          <w:rFonts w:hint="default" w:ascii="Times New Roman" w:hAnsi="Times New Roman" w:cs="Times New Roman"/>
          <w:sz w:val="20"/>
          <w:szCs w:val="20"/>
        </w:rPr>
        <w:t xml:space="preserve"> 1: Encoder structure example</w:t>
      </w:r>
      <w:r>
        <w:rPr>
          <w:rFonts w:hint="eastAsia" w:ascii="Times New Roman" w:hAnsi="Times New Roman" w:cs="Times New Roman"/>
          <w:sz w:val="20"/>
          <w:szCs w:val="20"/>
          <w:lang w:val="en-US" w:eastAsia="zh-CN"/>
        </w:rPr>
        <w:t xml:space="preserve"> </w:t>
      </w:r>
    </w:p>
    <w:p w14:paraId="1A683B28">
      <w:pPr>
        <w:rPr>
          <w:rFonts w:hint="default" w:ascii="Times New Roman" w:hAnsi="Times New Roman" w:cs="Times New Roman"/>
          <w:sz w:val="20"/>
          <w:szCs w:val="20"/>
        </w:rPr>
      </w:pPr>
      <w:r>
        <w:rPr>
          <w:rFonts w:hint="default" w:ascii="Times New Roman" w:hAnsi="Times New Roman" w:cs="Times New Roman"/>
          <w:sz w:val="20"/>
          <w:szCs w:val="20"/>
        </w:rPr>
        <w:t xml:space="preserve">Encoder description </w:t>
      </w:r>
      <w:r>
        <w:rPr>
          <w:rFonts w:hint="eastAsia" w:ascii="Times New Roman" w:hAnsi="Times New Roman" w:cs="Times New Roman"/>
          <w:sz w:val="20"/>
          <w:szCs w:val="20"/>
          <w:lang w:val="en-US" w:eastAsia="zh-CN"/>
        </w:rPr>
        <w:t xml:space="preserve">in RAN1 study </w:t>
      </w:r>
      <w:r>
        <w:rPr>
          <w:rFonts w:hint="default" w:ascii="Times New Roman" w:hAnsi="Times New Roman" w:cs="Times New Roman"/>
          <w:sz w:val="20"/>
          <w:szCs w:val="20"/>
        </w:rPr>
        <w:t>is elaborated in Table 1. The decoder has a mirroring design as the encoder.</w:t>
      </w:r>
    </w:p>
    <w:p w14:paraId="2BB235D7">
      <w:pPr>
        <w:pStyle w:val="18"/>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Table 1: Encoder description for CSI feedback using two-sided model</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0"/>
        <w:gridCol w:w="5475"/>
      </w:tblGrid>
      <w:tr w14:paraId="3BF68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 w:hRule="atLeast"/>
          <w:jc w:val="center"/>
        </w:trPr>
        <w:tc>
          <w:tcPr>
            <w:tcW w:w="3430" w:type="dxa"/>
            <w:shd w:val="clear" w:color="auto" w:fill="D9D9D9"/>
          </w:tcPr>
          <w:p w14:paraId="6EC83771">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Domain</w:t>
            </w:r>
          </w:p>
        </w:tc>
        <w:tc>
          <w:tcPr>
            <w:tcW w:w="5475" w:type="dxa"/>
            <w:shd w:val="clear" w:color="auto" w:fill="D9D9D9"/>
          </w:tcPr>
          <w:p w14:paraId="1203EF0D">
            <w:pPr>
              <w:pStyle w:val="19"/>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Parameters</w:t>
            </w:r>
          </w:p>
        </w:tc>
      </w:tr>
      <w:tr w14:paraId="5558B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3430" w:type="dxa"/>
          </w:tcPr>
          <w:p w14:paraId="7BF5CFC7">
            <w:pPr>
              <w:pStyle w:val="21"/>
              <w:widowControl w:val="0"/>
              <w:rPr>
                <w:rFonts w:hint="default" w:ascii="Times New Roman" w:hAnsi="Times New Roman" w:cs="Times New Roman"/>
                <w:sz w:val="20"/>
                <w:szCs w:val="20"/>
              </w:rPr>
            </w:pPr>
            <w:r>
              <w:rPr>
                <w:rFonts w:hint="default" w:ascii="Times New Roman" w:hAnsi="Times New Roman" w:cs="Times New Roman"/>
                <w:sz w:val="20"/>
                <w:szCs w:val="20"/>
              </w:rPr>
              <w:t>Embedding layer</w:t>
            </w:r>
          </w:p>
          <w:p w14:paraId="20310DBD">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(Note: linear embedding in above figure to be revised to Embedding layer)</w:t>
            </w:r>
          </w:p>
        </w:tc>
        <w:tc>
          <w:tcPr>
            <w:tcW w:w="5475" w:type="dxa"/>
          </w:tcPr>
          <w:p w14:paraId="14E8DCA9">
            <w:pPr>
              <w:pStyle w:val="21"/>
              <w:widowControl w:val="0"/>
              <w:rPr>
                <w:rFonts w:hint="default" w:ascii="Times New Roman" w:hAnsi="Times New Roman" w:cs="Times New Roman"/>
                <w:sz w:val="20"/>
                <w:szCs w:val="20"/>
              </w:rPr>
            </w:pPr>
            <w:r>
              <w:rPr>
                <w:rFonts w:hint="default" w:ascii="Times New Roman" w:hAnsi="Times New Roman" w:cs="Times New Roman"/>
                <w:sz w:val="20"/>
                <w:szCs w:val="20"/>
              </w:rPr>
              <w:t>Number of tokens</w:t>
            </w:r>
          </w:p>
          <w:p w14:paraId="4466006F">
            <w:pPr>
              <w:pStyle w:val="21"/>
              <w:widowControl w:val="0"/>
              <w:rPr>
                <w:rFonts w:hint="default" w:ascii="Times New Roman" w:hAnsi="Times New Roman" w:cs="Times New Roman"/>
                <w:sz w:val="20"/>
                <w:szCs w:val="20"/>
              </w:rPr>
            </w:pPr>
            <w:r>
              <w:rPr>
                <w:rFonts w:hint="default" w:ascii="Times New Roman" w:hAnsi="Times New Roman" w:cs="Times New Roman"/>
                <w:sz w:val="20"/>
                <w:szCs w:val="20"/>
              </w:rPr>
              <w:t>Feature dimension of each token</w:t>
            </w:r>
          </w:p>
          <w:p w14:paraId="182B6F47">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Output dimension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d</m:t>
                  </m:r>
                  <m:ctrlPr>
                    <w:rPr>
                      <w:rFonts w:hint="default" w:ascii="Cambria Math" w:hAnsi="Cambria Math" w:cs="Times New Roman"/>
                      <w:i/>
                      <w:sz w:val="20"/>
                      <w:szCs w:val="20"/>
                    </w:rPr>
                  </m:ctrlPr>
                </m:e>
                <m:sub>
                  <m:r>
                    <m:rPr/>
                    <w:rPr>
                      <w:rFonts w:hint="default" w:ascii="Cambria Math" w:hAnsi="Cambria Math" w:cs="Times New Roman"/>
                      <w:sz w:val="20"/>
                      <w:szCs w:val="20"/>
                    </w:rPr>
                    <m:t>model</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per token</w:t>
            </w:r>
          </w:p>
        </w:tc>
      </w:tr>
      <w:tr w14:paraId="16A3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3430" w:type="dxa"/>
          </w:tcPr>
          <w:p w14:paraId="48AAE6A8">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Positional encoding</w:t>
            </w:r>
          </w:p>
        </w:tc>
        <w:tc>
          <w:tcPr>
            <w:tcW w:w="5475" w:type="dxa"/>
          </w:tcPr>
          <w:p w14:paraId="5F5F958B">
            <w:pPr>
              <w:pStyle w:val="21"/>
              <w:widowControl w:val="0"/>
              <w:rPr>
                <w:rFonts w:hint="default" w:ascii="Times New Roman" w:hAnsi="Times New Roman" w:cs="Times New Roman"/>
                <w:sz w:val="20"/>
                <w:szCs w:val="20"/>
              </w:rPr>
            </w:pPr>
            <w:r>
              <w:rPr>
                <w:rFonts w:hint="default" w:ascii="Times New Roman" w:hAnsi="Times New Roman" w:cs="Times New Roman"/>
                <w:sz w:val="20"/>
                <w:szCs w:val="20"/>
              </w:rPr>
              <w:t>Number of tokens positions</w:t>
            </w:r>
          </w:p>
          <w:p w14:paraId="70F8DF84">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Dimension of positional encoding for each token position: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d</m:t>
                  </m:r>
                  <m:ctrlPr>
                    <w:rPr>
                      <w:rFonts w:hint="default" w:ascii="Cambria Math" w:hAnsi="Cambria Math" w:cs="Times New Roman"/>
                      <w:i/>
                      <w:sz w:val="20"/>
                      <w:szCs w:val="20"/>
                    </w:rPr>
                  </m:ctrlPr>
                </m:e>
                <m:sub>
                  <m:r>
                    <m:rPr/>
                    <w:rPr>
                      <w:rFonts w:hint="default" w:ascii="Cambria Math" w:hAnsi="Cambria Math" w:cs="Times New Roman"/>
                      <w:sz w:val="20"/>
                      <w:szCs w:val="20"/>
                    </w:rPr>
                    <m:t>model</m:t>
                  </m:r>
                  <m:ctrlPr>
                    <w:rPr>
                      <w:rFonts w:hint="default" w:ascii="Cambria Math" w:hAnsi="Cambria Math" w:cs="Times New Roman"/>
                      <w:i/>
                      <w:sz w:val="20"/>
                      <w:szCs w:val="20"/>
                    </w:rPr>
                  </m:ctrlPr>
                </m:sub>
              </m:sSub>
            </m:oMath>
          </w:p>
        </w:tc>
      </w:tr>
      <w:tr w14:paraId="797C9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3430" w:type="dxa"/>
          </w:tcPr>
          <w:p w14:paraId="24D52DEF">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Transformer blocks</w:t>
            </w:r>
          </w:p>
        </w:tc>
        <w:tc>
          <w:tcPr>
            <w:tcW w:w="5475" w:type="dxa"/>
          </w:tcPr>
          <w:p w14:paraId="214FE3D2">
            <w:pPr>
              <w:pStyle w:val="21"/>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Number of transformer blocks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TF</m:t>
                  </m:r>
                  <m:ctrlPr>
                    <w:rPr>
                      <w:rFonts w:hint="default" w:ascii="Cambria Math" w:hAnsi="Cambria Math" w:cs="Times New Roman"/>
                      <w:i/>
                      <w:sz w:val="20"/>
                      <w:szCs w:val="20"/>
                    </w:rPr>
                  </m:ctrlPr>
                </m:sub>
              </m:sSub>
            </m:oMath>
          </w:p>
          <w:p w14:paraId="10E3B965">
            <w:pPr>
              <w:pStyle w:val="21"/>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Dimension of transformer block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d</m:t>
                  </m:r>
                  <m:ctrlPr>
                    <w:rPr>
                      <w:rFonts w:hint="default" w:ascii="Cambria Math" w:hAnsi="Cambria Math" w:cs="Times New Roman"/>
                      <w:i/>
                      <w:sz w:val="20"/>
                      <w:szCs w:val="20"/>
                    </w:rPr>
                  </m:ctrlPr>
                </m:e>
                <m:sub>
                  <m:r>
                    <m:rPr/>
                    <w:rPr>
                      <w:rFonts w:hint="default" w:ascii="Cambria Math" w:hAnsi="Cambria Math" w:cs="Times New Roman"/>
                      <w:sz w:val="20"/>
                      <w:szCs w:val="20"/>
                    </w:rPr>
                    <m:t>model</m:t>
                  </m:r>
                  <m:ctrlPr>
                    <w:rPr>
                      <w:rFonts w:hint="default" w:ascii="Cambria Math" w:hAnsi="Cambria Math" w:cs="Times New Roman"/>
                      <w:i/>
                      <w:sz w:val="20"/>
                      <w:szCs w:val="20"/>
                    </w:rPr>
                  </m:ctrlPr>
                </m:sub>
              </m:sSub>
            </m:oMath>
          </w:p>
          <w:p w14:paraId="0B4C23D2">
            <w:pPr>
              <w:pStyle w:val="21"/>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Number of self-attention heads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ℎead</m:t>
                  </m:r>
                  <m:ctrlPr>
                    <w:rPr>
                      <w:rFonts w:hint="default" w:ascii="Cambria Math" w:hAnsi="Cambria Math" w:cs="Times New Roman"/>
                      <w:i/>
                      <w:sz w:val="20"/>
                      <w:szCs w:val="20"/>
                    </w:rPr>
                  </m:ctrlPr>
                </m:sub>
              </m:sSub>
            </m:oMath>
          </w:p>
          <w:p w14:paraId="0306F7C0">
            <w:pPr>
              <w:pStyle w:val="21"/>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Dimension of attention head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d</m:t>
                  </m:r>
                  <m:ctrlPr>
                    <w:rPr>
                      <w:rFonts w:hint="default" w:ascii="Cambria Math" w:hAnsi="Cambria Math" w:cs="Times New Roman"/>
                      <w:i/>
                      <w:sz w:val="20"/>
                      <w:szCs w:val="20"/>
                    </w:rPr>
                  </m:ctrlPr>
                </m:e>
                <m:sub>
                  <m:r>
                    <m:rPr/>
                    <w:rPr>
                      <w:rFonts w:hint="default" w:ascii="Cambria Math" w:hAnsi="Cambria Math" w:cs="Times New Roman"/>
                      <w:sz w:val="20"/>
                      <w:szCs w:val="20"/>
                    </w:rPr>
                    <m:t>ℎead</m:t>
                  </m:r>
                  <m:ctrlPr>
                    <w:rPr>
                      <w:rFonts w:hint="default" w:ascii="Cambria Math" w:hAnsi="Cambria Math" w:cs="Times New Roman"/>
                      <w:i/>
                      <w:sz w:val="20"/>
                      <w:szCs w:val="20"/>
                    </w:rPr>
                  </m:ctrlPr>
                </m:sub>
              </m:sSub>
            </m:oMath>
          </w:p>
          <w:p w14:paraId="3D5B26AA">
            <w:pPr>
              <w:pStyle w:val="21"/>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Dimension of latent space inside feedforward module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d</m:t>
                  </m:r>
                  <m:ctrlPr>
                    <w:rPr>
                      <w:rFonts w:hint="default" w:ascii="Cambria Math" w:hAnsi="Cambria Math" w:cs="Times New Roman"/>
                      <w:i/>
                      <w:sz w:val="20"/>
                      <w:szCs w:val="20"/>
                    </w:rPr>
                  </m:ctrlPr>
                </m:e>
                <m:sub>
                  <m:r>
                    <m:rPr/>
                    <w:rPr>
                      <w:rFonts w:hint="default" w:ascii="Cambria Math" w:hAnsi="Cambria Math" w:cs="Times New Roman"/>
                      <w:sz w:val="20"/>
                      <w:szCs w:val="20"/>
                    </w:rPr>
                    <m:t>FF</m:t>
                  </m:r>
                  <m:ctrlPr>
                    <w:rPr>
                      <w:rFonts w:hint="default" w:ascii="Cambria Math" w:hAnsi="Cambria Math" w:cs="Times New Roman"/>
                      <w:i/>
                      <w:sz w:val="20"/>
                      <w:szCs w:val="20"/>
                    </w:rPr>
                  </m:ctrlPr>
                </m:sub>
              </m:sSub>
            </m:oMath>
          </w:p>
          <w:p w14:paraId="6CE71E26">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Activation function choice</w:t>
            </w:r>
          </w:p>
        </w:tc>
      </w:tr>
      <w:tr w14:paraId="7D156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3430" w:type="dxa"/>
          </w:tcPr>
          <w:p w14:paraId="3C0E5468">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Output linear layer</w:t>
            </w:r>
          </w:p>
        </w:tc>
        <w:tc>
          <w:tcPr>
            <w:tcW w:w="5475" w:type="dxa"/>
          </w:tcPr>
          <w:p w14:paraId="0CC8DEA5">
            <w:pPr>
              <w:pStyle w:val="21"/>
              <w:widowControl w:val="0"/>
              <w:rPr>
                <w:rFonts w:hint="default" w:ascii="Times New Roman" w:hAnsi="Times New Roman" w:cs="Times New Roman"/>
                <w:sz w:val="20"/>
                <w:szCs w:val="20"/>
              </w:rPr>
            </w:pPr>
            <w:r>
              <w:rPr>
                <w:rFonts w:hint="default" w:ascii="Times New Roman" w:hAnsi="Times New Roman" w:cs="Times New Roman"/>
                <w:sz w:val="20"/>
                <w:szCs w:val="20"/>
              </w:rPr>
              <w:t>Reshape the matrix to a vector</w:t>
            </w:r>
          </w:p>
          <w:p w14:paraId="111210A6">
            <w:pPr>
              <w:pStyle w:val="21"/>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Output dimension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z</m:t>
                  </m:r>
                  <m:ctrlPr>
                    <w:rPr>
                      <w:rFonts w:hint="default" w:ascii="Cambria Math" w:hAnsi="Cambria Math" w:cs="Times New Roman"/>
                      <w:i/>
                      <w:sz w:val="20"/>
                      <w:szCs w:val="20"/>
                    </w:rPr>
                  </m:ctrlPr>
                </m:e>
                <m:sub>
                  <m:r>
                    <m:rPr/>
                    <w:rPr>
                      <w:rFonts w:hint="default" w:ascii="Cambria Math" w:hAnsi="Cambria Math" w:cs="Times New Roman"/>
                      <w:sz w:val="20"/>
                      <w:szCs w:val="20"/>
                    </w:rPr>
                    <m:t>dim</m:t>
                  </m:r>
                  <m:ctrlPr>
                    <w:rPr>
                      <w:rFonts w:hint="default" w:ascii="Cambria Math" w:hAnsi="Cambria Math" w:cs="Times New Roman"/>
                      <w:i/>
                      <w:sz w:val="20"/>
                      <w:szCs w:val="20"/>
                    </w:rPr>
                  </m:ctrlPr>
                </m:sub>
              </m:sSub>
            </m:oMath>
          </w:p>
        </w:tc>
      </w:tr>
      <w:tr w14:paraId="3A3AE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jc w:val="center"/>
        </w:trPr>
        <w:tc>
          <w:tcPr>
            <w:tcW w:w="3430" w:type="dxa"/>
          </w:tcPr>
          <w:p w14:paraId="39037CEF">
            <w:pPr>
              <w:pStyle w:val="21"/>
              <w:keepNext w:val="0"/>
              <w:keepLines w:val="0"/>
              <w:widowControl w:val="0"/>
              <w:rPr>
                <w:rFonts w:hint="default" w:ascii="Times New Roman" w:hAnsi="Times New Roman" w:cs="Times New Roman"/>
                <w:sz w:val="20"/>
                <w:szCs w:val="20"/>
              </w:rPr>
            </w:pPr>
            <w:r>
              <w:rPr>
                <w:rFonts w:hint="default" w:ascii="Times New Roman" w:hAnsi="Times New Roman" w:cs="Times New Roman"/>
                <w:sz w:val="20"/>
                <w:szCs w:val="20"/>
              </w:rPr>
              <w:t>Quantization</w:t>
            </w:r>
          </w:p>
        </w:tc>
        <w:tc>
          <w:tcPr>
            <w:tcW w:w="5475" w:type="dxa"/>
          </w:tcPr>
          <w:p w14:paraId="55DC9D30">
            <w:pPr>
              <w:pStyle w:val="21"/>
              <w:widowControl w:val="0"/>
              <w:rPr>
                <w:rFonts w:hint="default" w:ascii="Times New Roman" w:hAnsi="Times New Roman" w:cs="Times New Roman"/>
                <w:sz w:val="20"/>
                <w:szCs w:val="20"/>
              </w:rPr>
            </w:pPr>
            <w:r>
              <w:rPr>
                <w:rFonts w:hint="default" w:ascii="Times New Roman" w:hAnsi="Times New Roman" w:cs="Times New Roman"/>
                <w:sz w:val="20"/>
                <w:szCs w:val="20"/>
              </w:rPr>
              <w:t xml:space="preserve">Scalar quantization: </w:t>
            </w:r>
          </w:p>
          <w:p w14:paraId="0B871567">
            <w:pPr>
              <w:pStyle w:val="21"/>
              <w:widowControl w:val="0"/>
              <w:numPr>
                <w:ilvl w:val="0"/>
                <w:numId w:val="8"/>
              </w:numPr>
              <w:rPr>
                <w:rFonts w:hint="default" w:ascii="Times New Roman" w:hAnsi="Times New Roman" w:cs="Times New Roman"/>
                <w:sz w:val="20"/>
                <w:szCs w:val="20"/>
              </w:rPr>
            </w:pPr>
            <w:bookmarkStart w:id="8" w:name="MCCQCTEMPBM_00000158"/>
            <w:r>
              <w:rPr>
                <w:rFonts w:hint="default" w:ascii="Times New Roman" w:hAnsi="Times New Roman" w:cs="Times New Roman"/>
                <w:sz w:val="20"/>
                <w:szCs w:val="20"/>
              </w:rPr>
              <w:t xml:space="preserve">Number of bits per latent dimension: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bit</m:t>
                  </m:r>
                  <m:ctrlPr>
                    <w:rPr>
                      <w:rFonts w:hint="default" w:ascii="Cambria Math" w:hAnsi="Cambria Math" w:cs="Times New Roman"/>
                      <w:i/>
                      <w:sz w:val="20"/>
                      <w:szCs w:val="20"/>
                    </w:rPr>
                  </m:ctrlPr>
                </m:sub>
              </m:sSub>
            </m:oMath>
          </w:p>
          <w:bookmarkEnd w:id="8"/>
          <w:p w14:paraId="584CD786">
            <w:pPr>
              <w:pStyle w:val="21"/>
              <w:widowControl w:val="0"/>
              <w:numPr>
                <w:ilvl w:val="0"/>
                <w:numId w:val="8"/>
              </w:numPr>
              <w:rPr>
                <w:rFonts w:hint="default" w:ascii="Times New Roman" w:hAnsi="Times New Roman" w:cs="Times New Roman"/>
                <w:sz w:val="20"/>
                <w:szCs w:val="20"/>
              </w:rPr>
            </w:pPr>
            <w:bookmarkStart w:id="9" w:name="MCCQCTEMPBM_00000159"/>
            <w:r>
              <w:rPr>
                <w:rFonts w:hint="default" w:ascii="Times New Roman" w:hAnsi="Times New Roman" w:cs="Times New Roman"/>
                <w:sz w:val="20"/>
                <w:szCs w:val="20"/>
              </w:rPr>
              <w:t xml:space="preserve">Total payload size for Scalar quantization =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bit</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Z</m:t>
                  </m:r>
                  <m:ctrlPr>
                    <w:rPr>
                      <w:rFonts w:hint="default" w:ascii="Cambria Math" w:hAnsi="Cambria Math" w:cs="Times New Roman"/>
                      <w:i/>
                      <w:sz w:val="20"/>
                      <w:szCs w:val="20"/>
                    </w:rPr>
                  </m:ctrlPr>
                </m:e>
                <m:sub>
                  <m:r>
                    <m:rPr/>
                    <w:rPr>
                      <w:rFonts w:hint="default" w:ascii="Cambria Math" w:hAnsi="Cambria Math" w:cs="Times New Roman"/>
                      <w:sz w:val="20"/>
                      <w:szCs w:val="20"/>
                    </w:rPr>
                    <m:t>dim</m:t>
                  </m:r>
                  <m:ctrlPr>
                    <w:rPr>
                      <w:rFonts w:hint="default" w:ascii="Cambria Math" w:hAnsi="Cambria Math" w:cs="Times New Roman"/>
                      <w:i/>
                      <w:sz w:val="20"/>
                      <w:szCs w:val="20"/>
                    </w:rPr>
                  </m:ctrlPr>
                </m:sub>
              </m:sSub>
            </m:oMath>
          </w:p>
          <w:bookmarkEnd w:id="9"/>
          <w:p w14:paraId="16F517FC">
            <w:pPr>
              <w:pStyle w:val="21"/>
              <w:widowControl w:val="0"/>
              <w:rPr>
                <w:rFonts w:hint="default" w:ascii="Times New Roman" w:hAnsi="Times New Roman" w:cs="Times New Roman"/>
                <w:sz w:val="20"/>
                <w:szCs w:val="20"/>
              </w:rPr>
            </w:pPr>
            <w:r>
              <w:rPr>
                <w:rFonts w:hint="default" w:ascii="Times New Roman" w:hAnsi="Times New Roman" w:cs="Times New Roman"/>
                <w:sz w:val="20"/>
                <w:szCs w:val="20"/>
              </w:rPr>
              <w:t>Vector quantization</w:t>
            </w:r>
          </w:p>
          <w:p w14:paraId="53A5CC07">
            <w:pPr>
              <w:pStyle w:val="21"/>
              <w:widowControl w:val="0"/>
              <w:numPr>
                <w:ilvl w:val="0"/>
                <w:numId w:val="9"/>
              </w:numPr>
              <w:rPr>
                <w:rFonts w:hint="default" w:ascii="Times New Roman" w:hAnsi="Times New Roman" w:cs="Times New Roman"/>
                <w:sz w:val="20"/>
                <w:szCs w:val="20"/>
              </w:rPr>
            </w:pPr>
            <w:bookmarkStart w:id="10" w:name="MCCQCTEMPBM_00000160"/>
            <w:r>
              <w:rPr>
                <w:rFonts w:hint="default" w:ascii="Times New Roman" w:hAnsi="Times New Roman" w:cs="Times New Roman"/>
                <w:sz w:val="20"/>
                <w:szCs w:val="20"/>
              </w:rPr>
              <w:t xml:space="preserve">segment size =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seg</m:t>
                  </m:r>
                  <m:ctrlPr>
                    <w:rPr>
                      <w:rFonts w:hint="default" w:ascii="Cambria Math" w:hAnsi="Cambria Math" w:cs="Times New Roman"/>
                      <w:i/>
                      <w:sz w:val="20"/>
                      <w:szCs w:val="20"/>
                    </w:rPr>
                  </m:ctrlPr>
                </m:sub>
              </m:sSub>
            </m:oMath>
          </w:p>
          <w:bookmarkEnd w:id="10"/>
          <w:p w14:paraId="1A910C33">
            <w:pPr>
              <w:pStyle w:val="21"/>
              <w:widowControl w:val="0"/>
              <w:numPr>
                <w:ilvl w:val="0"/>
                <w:numId w:val="9"/>
              </w:numPr>
              <w:rPr>
                <w:rFonts w:hint="default" w:ascii="Times New Roman" w:hAnsi="Times New Roman" w:cs="Times New Roman"/>
                <w:sz w:val="20"/>
                <w:szCs w:val="20"/>
              </w:rPr>
            </w:pPr>
            <w:bookmarkStart w:id="11" w:name="MCCQCTEMPBM_00000161"/>
            <w:r>
              <w:rPr>
                <w:rFonts w:hint="default" w:ascii="Times New Roman" w:hAnsi="Times New Roman" w:cs="Times New Roman"/>
                <w:sz w:val="20"/>
                <w:szCs w:val="20"/>
              </w:rPr>
              <w:t>Number of bits per latent dimension:</w:t>
            </w:r>
            <w:r>
              <w:rPr>
                <w:rFonts w:hint="default" w:ascii="Times New Roman" w:hAnsi="Times New Roman" w:cs="Times New Roman"/>
                <w:i/>
                <w:sz w:val="20"/>
                <w:szCs w:val="20"/>
              </w:rPr>
              <w:t xml:space="preserve">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bit</m:t>
                  </m:r>
                  <m:ctrlPr>
                    <w:rPr>
                      <w:rFonts w:hint="default" w:ascii="Cambria Math" w:hAnsi="Cambria Math" w:cs="Times New Roman"/>
                      <w:i/>
                      <w:sz w:val="20"/>
                      <w:szCs w:val="20"/>
                    </w:rPr>
                  </m:ctrlPr>
                </m:sub>
              </m:sSub>
            </m:oMath>
          </w:p>
          <w:bookmarkEnd w:id="11"/>
          <w:p w14:paraId="498DCA55">
            <w:pPr>
              <w:pStyle w:val="21"/>
              <w:widowControl w:val="0"/>
              <w:numPr>
                <w:ilvl w:val="0"/>
                <w:numId w:val="9"/>
              </w:numPr>
              <w:rPr>
                <w:rFonts w:hint="default" w:ascii="Times New Roman" w:hAnsi="Times New Roman" w:cs="Times New Roman"/>
                <w:sz w:val="20"/>
                <w:szCs w:val="20"/>
              </w:rPr>
            </w:pPr>
            <w:bookmarkStart w:id="12" w:name="MCCQCTEMPBM_00000162"/>
            <w:r>
              <w:rPr>
                <w:rFonts w:hint="default" w:ascii="Times New Roman" w:hAnsi="Times New Roman" w:cs="Times New Roman"/>
                <w:sz w:val="20"/>
                <w:szCs w:val="20"/>
              </w:rPr>
              <w:t xml:space="preserve">bits per segment =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bit</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seg</m:t>
                  </m:r>
                  <m:ctrlPr>
                    <w:rPr>
                      <w:rFonts w:hint="default" w:ascii="Cambria Math" w:hAnsi="Cambria Math" w:cs="Times New Roman"/>
                      <w:i/>
                      <w:sz w:val="20"/>
                      <w:szCs w:val="20"/>
                    </w:rPr>
                  </m:ctrlPr>
                </m:sub>
              </m:sSub>
            </m:oMath>
          </w:p>
          <w:bookmarkEnd w:id="12"/>
          <w:p w14:paraId="5F97F57F">
            <w:pPr>
              <w:pStyle w:val="21"/>
              <w:widowControl w:val="0"/>
              <w:numPr>
                <w:ilvl w:val="0"/>
                <w:numId w:val="9"/>
              </w:numPr>
              <w:rPr>
                <w:rFonts w:hint="default" w:ascii="Times New Roman" w:hAnsi="Times New Roman" w:cs="Times New Roman"/>
                <w:sz w:val="20"/>
                <w:szCs w:val="20"/>
              </w:rPr>
            </w:pPr>
            <w:bookmarkStart w:id="13" w:name="MCCQCTEMPBM_00000163"/>
            <w:r>
              <w:rPr>
                <w:rFonts w:hint="default" w:ascii="Times New Roman" w:hAnsi="Times New Roman" w:cs="Times New Roman"/>
                <w:sz w:val="20"/>
                <w:szCs w:val="20"/>
              </w:rPr>
              <w:t xml:space="preserve">Number of segments =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Z</m:t>
                  </m:r>
                  <m:ctrlPr>
                    <w:rPr>
                      <w:rFonts w:hint="default" w:ascii="Cambria Math" w:hAnsi="Cambria Math" w:cs="Times New Roman"/>
                      <w:i/>
                      <w:sz w:val="20"/>
                      <w:szCs w:val="20"/>
                    </w:rPr>
                  </m:ctrlPr>
                </m:e>
                <m:sub>
                  <m:r>
                    <m:rPr/>
                    <w:rPr>
                      <w:rFonts w:hint="default" w:ascii="Cambria Math" w:hAnsi="Cambria Math" w:cs="Times New Roman"/>
                      <w:sz w:val="20"/>
                      <w:szCs w:val="20"/>
                    </w:rPr>
                    <m:t>dim</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seg</m:t>
                  </m:r>
                  <m:ctrlPr>
                    <w:rPr>
                      <w:rFonts w:hint="default" w:ascii="Cambria Math" w:hAnsi="Cambria Math" w:cs="Times New Roman"/>
                      <w:i/>
                      <w:sz w:val="20"/>
                      <w:szCs w:val="20"/>
                    </w:rPr>
                  </m:ctrlPr>
                </m:sub>
              </m:sSub>
            </m:oMath>
          </w:p>
          <w:bookmarkEnd w:id="13"/>
          <w:p w14:paraId="63B1E213">
            <w:pPr>
              <w:pStyle w:val="21"/>
              <w:keepNext w:val="0"/>
              <w:keepLines w:val="0"/>
              <w:widowControl w:val="0"/>
              <w:numPr>
                <w:ilvl w:val="0"/>
                <w:numId w:val="9"/>
              </w:numPr>
              <w:rPr>
                <w:rFonts w:hint="default" w:ascii="Times New Roman" w:hAnsi="Times New Roman" w:cs="Times New Roman"/>
                <w:sz w:val="20"/>
                <w:szCs w:val="20"/>
              </w:rPr>
            </w:pPr>
            <w:r>
              <w:rPr>
                <w:rFonts w:hint="default" w:ascii="Times New Roman" w:hAnsi="Times New Roman" w:cs="Times New Roman"/>
                <w:sz w:val="20"/>
                <w:szCs w:val="20"/>
              </w:rPr>
              <w:t>Total payload size for Vector quantization = Number of segments * bits per segment</w:t>
            </w:r>
          </w:p>
        </w:tc>
      </w:tr>
    </w:tbl>
    <w:p w14:paraId="55371D28">
      <w:pPr>
        <w:spacing w:after="180" w:line="240" w:lineRule="exact"/>
        <w:rPr>
          <w:rFonts w:hint="eastAsia" w:ascii="Times New Roman" w:hAnsi="Times New Roman" w:eastAsia="等线"/>
          <w:bCs/>
          <w:iCs/>
          <w:sz w:val="20"/>
          <w:szCs w:val="20"/>
          <w:lang w:val="en-US" w:eastAsia="zh-CN"/>
        </w:rPr>
      </w:pPr>
    </w:p>
    <w:p w14:paraId="6F98E4F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WID, RAN1 scalability study outcome need to be taken into account to define/specify reference model. Since RAN1 take Transformer as baseline, it is proposed to consider Transformer for RAN4 discussion, and example structure and parameters in RAN1 can be used as baseline.  </w:t>
      </w:r>
    </w:p>
    <w:p w14:paraId="0F446C4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to consider transformer for RAN4 discussion, and the example structure and parameters in RAN1 can be used as baseline.</w:t>
      </w:r>
    </w:p>
    <w:p w14:paraId="37493118">
      <w:pPr>
        <w:spacing w:after="180" w:line="240" w:lineRule="exact"/>
        <w:rPr>
          <w:rFonts w:hint="default" w:ascii="Times New Roman" w:hAnsi="Times New Roman" w:cs="Times New Roman"/>
          <w:iCs/>
          <w:sz w:val="20"/>
          <w:szCs w:val="20"/>
          <w:lang w:val="en-US" w:eastAsia="zh-CN"/>
        </w:rPr>
      </w:pPr>
      <w:r>
        <w:rPr>
          <w:rFonts w:hint="eastAsia" w:ascii="Times New Roman" w:hAnsi="Times New Roman" w:cs="Times New Roman"/>
          <w:iCs/>
          <w:sz w:val="20"/>
          <w:szCs w:val="20"/>
          <w:lang w:val="en-US" w:eastAsia="zh-CN"/>
        </w:rPr>
        <w:t xml:space="preserve">Another issue is how many test decoders and encoders are needed [3]. This issue is related with scalability discussion. In Rel-19 study, for the model structure feasibility study of Case 0 with precoding matrix in spatial-frequency domain as input, RAN1 consider following alternatives on scaling over token dimension (e.g., number of subbands, number of Tx ports, or combination thereof), feature dimension (e.g., number of Tx ports, number of subbands, or combination thereof), and payload configurations are studied. RAN1 concludes that the scalable model structure specification is feasible for sub-option 3a-1 of Direction A, and the scalable model structure specification and model parameters specification is feasible for Direction C. With good scalability, the number of test decoders and encoders can be reduced.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0887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8271FC6">
            <w:pPr>
              <w:spacing w:after="180" w:line="240" w:lineRule="exact"/>
              <w:rPr>
                <w:rFonts w:hint="default" w:ascii="Times New Roman" w:hAnsi="Times New Roman" w:cs="Times New Roman"/>
                <w:iCs/>
                <w:sz w:val="20"/>
                <w:szCs w:val="20"/>
                <w:vertAlign w:val="baseline"/>
                <w:lang w:val="en-US" w:eastAsia="zh-CN"/>
              </w:rPr>
            </w:pPr>
            <w:r>
              <w:rPr>
                <w:rFonts w:hint="default" w:ascii="Times New Roman" w:hAnsi="Times New Roman" w:cs="Times New Roman"/>
                <w:iCs/>
                <w:sz w:val="20"/>
                <w:szCs w:val="20"/>
                <w:vertAlign w:val="baseline"/>
                <w:lang w:val="en-US" w:eastAsia="zh-CN"/>
              </w:rPr>
              <w:t>TR 38.843</w:t>
            </w:r>
          </w:p>
          <w:p w14:paraId="13971A60">
            <w:pPr>
              <w:pStyle w:val="23"/>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For the choice of token dimension and feature dimension,</w:t>
            </w:r>
          </w:p>
          <w:p w14:paraId="26DB99F6">
            <w:pPr>
              <w:pStyle w:val="2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Alt 1: Use subband as the token dimension and Tx port as a feature dimension</w:t>
            </w:r>
          </w:p>
          <w:p w14:paraId="51AE37FA">
            <w:pPr>
              <w:pStyle w:val="2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number of tokens varies with the number of subbands.</w:t>
            </w:r>
          </w:p>
          <w:p w14:paraId="23A641D9">
            <w:pPr>
              <w:pStyle w:val="2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Alt 2: Use Tx port as the token dimension and subband as a feature dimension</w:t>
            </w:r>
          </w:p>
          <w:p w14:paraId="3C38D502">
            <w:pPr>
              <w:pStyle w:val="2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number of tokens varies with the number of Tx ports.</w:t>
            </w:r>
          </w:p>
          <w:p w14:paraId="6B5089E3">
            <w:pPr>
              <w:pStyle w:val="2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Alt 3: Use a fixed-size sub-block of Tx ports and subbands matrix (e.g., n_Tx_ports*m_Subbands) as a token and represent the input as a sequence of tokens.</w:t>
            </w:r>
          </w:p>
          <w:p w14:paraId="0BC6B358">
            <w:pPr>
              <w:pStyle w:val="2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number of tokens varies with the number of Tx ports and the number of subbands.</w:t>
            </w:r>
          </w:p>
          <w:p w14:paraId="60DADD68">
            <w:pPr>
              <w:pStyle w:val="23"/>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For scalability over the feature dimension, </w:t>
            </w:r>
          </w:p>
          <w:p w14:paraId="476CBF97">
            <w:pPr>
              <w:pStyle w:val="2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Alt1: specific embedding layer for each feature size</w:t>
            </w:r>
          </w:p>
          <w:p w14:paraId="31FED168">
            <w:pPr>
              <w:pStyle w:val="2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Alt2: a common embedding layer with padding (e.g., zero-padding or other techniques for padding values) </w:t>
            </w:r>
          </w:p>
          <w:p w14:paraId="17B45C8C">
            <w:pPr>
              <w:pStyle w:val="23"/>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For scalability over the token dimension, </w:t>
            </w:r>
          </w:p>
          <w:p w14:paraId="7D4F318F">
            <w:pPr>
              <w:pStyle w:val="2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Alt1: positional embedding specific to each token index</w:t>
            </w:r>
          </w:p>
          <w:p w14:paraId="622D3ED2">
            <w:pPr>
              <w:pStyle w:val="2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token,active</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tokens out of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N</m:t>
                  </m:r>
                  <m:ctrlPr>
                    <w:rPr>
                      <w:rFonts w:hint="default" w:ascii="Cambria Math" w:hAnsi="Cambria Math" w:cs="Times New Roman"/>
                      <w:i/>
                      <w:sz w:val="20"/>
                      <w:szCs w:val="20"/>
                    </w:rPr>
                  </m:ctrlPr>
                </m:e>
                <m:sub>
                  <m:r>
                    <m:rPr/>
                    <w:rPr>
                      <w:rFonts w:hint="default" w:ascii="Cambria Math" w:hAnsi="Cambria Math" w:cs="Times New Roman"/>
                      <w:sz w:val="20"/>
                      <w:szCs w:val="20"/>
                    </w:rPr>
                    <m:t>token</m:t>
                  </m:r>
                  <m:ctrlPr>
                    <w:rPr>
                      <w:rFonts w:hint="default" w:ascii="Cambria Math" w:hAnsi="Cambria Math" w:cs="Times New Roman"/>
                      <w:i/>
                      <w:sz w:val="20"/>
                      <w:szCs w:val="20"/>
                    </w:rPr>
                  </m:ctrlPr>
                </m:sub>
              </m:sSub>
            </m:oMath>
            <w:r>
              <w:rPr>
                <w:rFonts w:hint="default" w:ascii="Times New Roman" w:hAnsi="Times New Roman" w:cs="Times New Roman"/>
                <w:sz w:val="20"/>
                <w:szCs w:val="20"/>
              </w:rPr>
              <w:t xml:space="preserve"> token positions are used as input.</w:t>
            </w:r>
          </w:p>
          <w:p w14:paraId="7CCFF280">
            <w:pPr>
              <w:pStyle w:val="2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Alt2: Padding at the input</w:t>
            </w:r>
          </w:p>
          <w:p w14:paraId="50970E23">
            <w:pPr>
              <w:pStyle w:val="23"/>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For scalability over payload configurations,</w:t>
            </w:r>
          </w:p>
          <w:p w14:paraId="4E063572">
            <w:pPr>
              <w:pStyle w:val="2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Alt1: specific output linear layer for each payload configuration</w:t>
            </w:r>
          </w:p>
          <w:p w14:paraId="5F3D435C">
            <w:pPr>
              <w:pStyle w:val="2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Alt2: truncation/masking of the output linear layer output</w:t>
            </w:r>
          </w:p>
          <w:p w14:paraId="4C4DFE4E">
            <w:pPr>
              <w:pStyle w:val="2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Alt3: by varying quantization parameters</w:t>
            </w:r>
          </w:p>
          <w:p w14:paraId="6721E707">
            <w:pPr>
              <w:pStyle w:val="23"/>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Notes</w:t>
            </w:r>
          </w:p>
          <w:p w14:paraId="1AA8D894">
            <w:pPr>
              <w:pStyle w:val="2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Other Alternatives are not precluded.</w:t>
            </w:r>
          </w:p>
          <w:p w14:paraId="5A8961DB">
            <w:pPr>
              <w:pStyle w:val="2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Different Alternatives may be used in combination.</w:t>
            </w:r>
          </w:p>
          <w:p w14:paraId="708881B2">
            <w:pPr>
              <w:pStyle w:val="24"/>
              <w:rPr>
                <w:rFonts w:hint="default" w:ascii="Times New Roman" w:hAnsi="Times New Roman" w:cs="Times New Roman"/>
                <w:iCs/>
                <w:sz w:val="20"/>
                <w:szCs w:val="20"/>
                <w:vertAlign w:val="baseline"/>
                <w:lang w:val="en-US"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Same/similar approach is applied at the decoder side.</w:t>
            </w:r>
          </w:p>
        </w:tc>
      </w:tr>
    </w:tbl>
    <w:p w14:paraId="49E6CBC9">
      <w:pPr>
        <w:spacing w:after="180" w:line="240" w:lineRule="exact"/>
        <w:rPr>
          <w:rFonts w:hint="eastAsia" w:ascii="Times New Roman" w:hAnsi="Times New Roman" w:cs="Times New Roman"/>
          <w:iCs/>
          <w:sz w:val="20"/>
          <w:szCs w:val="20"/>
          <w:lang w:val="en-US" w:eastAsia="zh-CN"/>
        </w:rPr>
      </w:pPr>
    </w:p>
    <w:p w14:paraId="2B74EEDD">
      <w:pPr>
        <w:spacing w:after="180" w:line="240" w:lineRule="exact"/>
        <w:rPr>
          <w:rFonts w:hint="eastAsia" w:ascii="Times New Roman" w:hAnsi="Times New Roman" w:cs="Times New Roman"/>
          <w:iCs/>
          <w:sz w:val="20"/>
          <w:szCs w:val="20"/>
          <w:lang w:val="en-US" w:eastAsia="zh-CN"/>
        </w:rPr>
      </w:pPr>
      <w:r>
        <w:rPr>
          <w:rFonts w:hint="eastAsia" w:ascii="Times New Roman" w:hAnsi="Times New Roman" w:cs="Times New Roman"/>
          <w:iCs/>
          <w:sz w:val="20"/>
          <w:szCs w:val="20"/>
          <w:lang w:val="en-US" w:eastAsia="zh-CN"/>
        </w:rPr>
        <w:t xml:space="preserve">In Rel-19, 1-1 joint training, training based on the Samsung frozen decoder, </w:t>
      </w:r>
      <w:r>
        <w:rPr>
          <w:rFonts w:hint="default" w:ascii="Times New Roman" w:hAnsi="Times New Roman" w:cs="Times New Roman"/>
          <w:iCs/>
          <w:sz w:val="20"/>
          <w:szCs w:val="20"/>
          <w:lang w:val="en-US" w:eastAsia="zh-CN"/>
        </w:rPr>
        <w:t>“</w:t>
      </w:r>
      <w:r>
        <w:rPr>
          <w:rFonts w:hint="eastAsia" w:ascii="Times New Roman" w:hAnsi="Times New Roman" w:cs="Times New Roman"/>
          <w:iCs/>
          <w:sz w:val="20"/>
          <w:szCs w:val="20"/>
          <w:lang w:val="en-US" w:eastAsia="zh-CN"/>
        </w:rPr>
        <w:t>N-to-1 Multi-encoder structure aware training</w:t>
      </w:r>
      <w:r>
        <w:rPr>
          <w:rFonts w:hint="default" w:ascii="Times New Roman" w:hAnsi="Times New Roman" w:cs="Times New Roman"/>
          <w:iCs/>
          <w:sz w:val="20"/>
          <w:szCs w:val="20"/>
          <w:lang w:val="en-US" w:eastAsia="zh-CN"/>
        </w:rPr>
        <w:t>”</w:t>
      </w:r>
      <w:r>
        <w:rPr>
          <w:rFonts w:hint="eastAsia" w:ascii="Times New Roman" w:hAnsi="Times New Roman" w:cs="Times New Roman"/>
          <w:iCs/>
          <w:sz w:val="20"/>
          <w:szCs w:val="20"/>
          <w:lang w:val="en-US" w:eastAsia="zh-CN"/>
        </w:rPr>
        <w:t xml:space="preserve"> are simulated in RAN4. The conclusion is that if a high complexity test decoder is used, it seems to be compatible with different encoder backbones (at least CNN and transformer). Also to be noted that Whether a low complexity decoder can be compatible with different encoder structures was not studied. The benefits of N-to-1 Multi-encoder structure aware training are not fully clear, however it may improve the performance of the lowest complexity MLP encoder. In Rel-20, RAN4 can further perform the simulation, which is helpful in deciding the number of decoders.</w:t>
      </w:r>
    </w:p>
    <w:p w14:paraId="082D10F4">
      <w:pPr>
        <w:spacing w:after="180" w:line="240" w:lineRule="exact"/>
        <w:rPr>
          <w:rFonts w:hint="default"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 xml:space="preserve">Proposal 2: the number of test decoders and encoders can be further discussed based on the scalability outcome and simulation results.     </w:t>
      </w:r>
    </w:p>
    <w:p w14:paraId="25298581">
      <w:pPr>
        <w:spacing w:after="180" w:line="240" w:lineRule="exact"/>
        <w:rPr>
          <w:rFonts w:hint="default" w:ascii="Times New Roman" w:hAnsi="Times New Roman" w:eastAsia="宋体" w:cs="Times New Roman"/>
          <w:iCs/>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inter-vendor training collaboration and interoperability for two-sided AI/ML models</w:t>
      </w:r>
      <w:r>
        <w:rPr>
          <w:rFonts w:hint="eastAsia" w:ascii="Times New Roman" w:hAnsi="Times New Roman"/>
          <w:sz w:val="20"/>
          <w:szCs w:val="20"/>
        </w:rPr>
        <w:t>. The proposals are:</w:t>
      </w:r>
    </w:p>
    <w:p w14:paraId="7DDF3B7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to consider transformer for RAN4 discussion, and the example structure and parameters in RAN1 can be used as baseline.</w:t>
      </w:r>
    </w:p>
    <w:p w14:paraId="7D19D32D">
      <w:pPr>
        <w:spacing w:after="180" w:line="240" w:lineRule="exact"/>
        <w:rPr>
          <w:rFonts w:hint="default"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 xml:space="preserve">Proposal 2: the number of test decoders and encoders can be further discussed based on the scalability outcome and simulation results.     </w:t>
      </w:r>
    </w:p>
    <w:p w14:paraId="2CE3756B">
      <w:pPr>
        <w:spacing w:after="180" w:line="240" w:lineRule="exact"/>
        <w:rPr>
          <w:rFonts w:hint="eastAsia" w:ascii="Times New Roman" w:hAnsi="Times New Roman" w:eastAsia="等线"/>
          <w:b/>
          <w:bCs/>
          <w:i/>
          <w:iCs/>
          <w:sz w:val="20"/>
          <w:szCs w:val="20"/>
          <w:lang w:val="en-US" w:eastAsia="zh-CN"/>
        </w:rPr>
      </w:pPr>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7"/>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3C63F738">
      <w:pPr>
        <w:pStyle w:val="17"/>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w:t>
      </w:r>
    </w:p>
    <w:p w14:paraId="1B6067D0">
      <w:pPr>
        <w:pStyle w:val="17"/>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R4-2511849</w:t>
      </w:r>
      <w:r>
        <w:rPr>
          <w:rFonts w:hint="eastAsia" w:ascii="Times" w:hAnsi="Times" w:eastAsia="宋体"/>
          <w:b w:val="0"/>
          <w:sz w:val="20"/>
          <w:lang w:val="en-US" w:eastAsia="zh-CN"/>
        </w:rPr>
        <w:t>, WF on [116][132] NR_AIML_air_part2, Ericsson</w:t>
      </w:r>
    </w:p>
    <w:p w14:paraId="32F488D6">
      <w:pPr>
        <w:pStyle w:val="17"/>
        <w:framePr w:wrap="auto" w:vAnchor="margin" w:hAnchor="text" w:yAlign="inline"/>
        <w:numPr>
          <w:ilvl w:val="0"/>
          <w:numId w:val="10"/>
        </w:numPr>
        <w:ind w:right="400"/>
        <w:jc w:val="both"/>
        <w:rPr>
          <w:rFonts w:ascii="Times" w:hAnsi="Times" w:eastAsia="宋体"/>
          <w:b w:val="0"/>
          <w:sz w:val="20"/>
          <w:lang w:eastAsia="zh-CN"/>
        </w:rPr>
      </w:pPr>
    </w:p>
    <w:p w14:paraId="45973251">
      <w:pPr>
        <w:pStyle w:val="17"/>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[4] 3GPP TR 38.843, Study on Artificial Intelligence (AI)/Machine Learning (ML) for NR air interface </w:t>
      </w:r>
    </w:p>
    <w:p w14:paraId="18CE6519">
      <w:pPr>
        <w:pStyle w:val="17"/>
        <w:framePr w:wrap="auto" w:vAnchor="margin" w:hAnchor="text" w:yAlign="inline"/>
        <w:ind w:right="400"/>
        <w:jc w:val="both"/>
        <w:rPr>
          <w:rFonts w:ascii="Times" w:hAnsi="Times" w:eastAsia="宋体"/>
          <w:b w:val="0"/>
          <w:sz w:val="20"/>
          <w:lang w:eastAsia="zh-CN"/>
        </w:rPr>
      </w:pPr>
    </w:p>
    <w:p w14:paraId="3E9138E2">
      <w:pPr>
        <w:pStyle w:val="17"/>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76AE66"/>
    <w:multiLevelType w:val="multilevel"/>
    <w:tmpl w:val="A776AE6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1BBB0432"/>
    <w:multiLevelType w:val="multilevel"/>
    <w:tmpl w:val="1BBB0432"/>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4DA56F6"/>
    <w:multiLevelType w:val="multilevel"/>
    <w:tmpl w:val="64DA56F6"/>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4D11420"/>
    <w:multiLevelType w:val="singleLevel"/>
    <w:tmpl w:val="74D11420"/>
    <w:lvl w:ilvl="0" w:tentative="0">
      <w:start w:val="1"/>
      <w:numFmt w:val="bullet"/>
      <w:lvlText w:val=""/>
      <w:lvlJc w:val="left"/>
      <w:pPr>
        <w:tabs>
          <w:tab w:val="left" w:pos="420"/>
        </w:tabs>
        <w:ind w:left="840" w:hanging="420"/>
      </w:pPr>
      <w:rPr>
        <w:rFonts w:hint="default" w:ascii="Wingdings" w:hAnsi="Wingdings"/>
      </w:rPr>
    </w:lvl>
  </w:abstractNum>
  <w:num w:numId="1">
    <w:abstractNumId w:val="8"/>
  </w:num>
  <w:num w:numId="2">
    <w:abstractNumId w:val="5"/>
  </w:num>
  <w:num w:numId="3">
    <w:abstractNumId w:val="3"/>
  </w:num>
  <w:num w:numId="4">
    <w:abstractNumId w:val="6"/>
  </w:num>
  <w:num w:numId="5">
    <w:abstractNumId w:val="4"/>
  </w:num>
  <w:num w:numId="6">
    <w:abstractNumId w:val="0"/>
  </w:num>
  <w:num w:numId="7">
    <w:abstractNumId w:val="9"/>
  </w:num>
  <w:num w:numId="8">
    <w:abstractNumId w:val="7"/>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366D2D"/>
    <w:rsid w:val="029045F8"/>
    <w:rsid w:val="02BB6F86"/>
    <w:rsid w:val="03315CCB"/>
    <w:rsid w:val="033C6CCE"/>
    <w:rsid w:val="041E7AB7"/>
    <w:rsid w:val="04AB06C0"/>
    <w:rsid w:val="04B0587E"/>
    <w:rsid w:val="05FD1662"/>
    <w:rsid w:val="063103EA"/>
    <w:rsid w:val="065345EF"/>
    <w:rsid w:val="07AF30A6"/>
    <w:rsid w:val="084A6C23"/>
    <w:rsid w:val="08C01BD2"/>
    <w:rsid w:val="0A12645E"/>
    <w:rsid w:val="0A7A49BE"/>
    <w:rsid w:val="0BDF4286"/>
    <w:rsid w:val="0CFD51A3"/>
    <w:rsid w:val="0DE85960"/>
    <w:rsid w:val="0E2315D2"/>
    <w:rsid w:val="0EB3632D"/>
    <w:rsid w:val="0EEF4E8D"/>
    <w:rsid w:val="0FDE2595"/>
    <w:rsid w:val="0FE50EF5"/>
    <w:rsid w:val="107700EF"/>
    <w:rsid w:val="13156148"/>
    <w:rsid w:val="151A3F0B"/>
    <w:rsid w:val="15685863"/>
    <w:rsid w:val="156D67CC"/>
    <w:rsid w:val="15774DC7"/>
    <w:rsid w:val="158970AB"/>
    <w:rsid w:val="15C5068C"/>
    <w:rsid w:val="16967F0A"/>
    <w:rsid w:val="16C20D68"/>
    <w:rsid w:val="17EE3251"/>
    <w:rsid w:val="1869036D"/>
    <w:rsid w:val="18C26AAD"/>
    <w:rsid w:val="19D35C0A"/>
    <w:rsid w:val="1A4B52AF"/>
    <w:rsid w:val="1B097409"/>
    <w:rsid w:val="1B8C2C7D"/>
    <w:rsid w:val="1BDE38AF"/>
    <w:rsid w:val="1C79747B"/>
    <w:rsid w:val="1D1B764B"/>
    <w:rsid w:val="202D5DF0"/>
    <w:rsid w:val="20576A8F"/>
    <w:rsid w:val="21A25EC1"/>
    <w:rsid w:val="21CD1190"/>
    <w:rsid w:val="22C91E20"/>
    <w:rsid w:val="233F4A51"/>
    <w:rsid w:val="239448A4"/>
    <w:rsid w:val="245C2C9F"/>
    <w:rsid w:val="24BB4727"/>
    <w:rsid w:val="250671CD"/>
    <w:rsid w:val="25830931"/>
    <w:rsid w:val="259C54CD"/>
    <w:rsid w:val="26944BFD"/>
    <w:rsid w:val="27BB3844"/>
    <w:rsid w:val="295E6B72"/>
    <w:rsid w:val="2DD14D37"/>
    <w:rsid w:val="2EC43DB8"/>
    <w:rsid w:val="2F3D3244"/>
    <w:rsid w:val="308E7578"/>
    <w:rsid w:val="309A667E"/>
    <w:rsid w:val="311F0FAA"/>
    <w:rsid w:val="3159659D"/>
    <w:rsid w:val="31C72739"/>
    <w:rsid w:val="32420EA7"/>
    <w:rsid w:val="32717C27"/>
    <w:rsid w:val="3295408B"/>
    <w:rsid w:val="33076BD7"/>
    <w:rsid w:val="36311397"/>
    <w:rsid w:val="36915B95"/>
    <w:rsid w:val="36D5158E"/>
    <w:rsid w:val="372F00FC"/>
    <w:rsid w:val="39616E69"/>
    <w:rsid w:val="397B647A"/>
    <w:rsid w:val="39DC502A"/>
    <w:rsid w:val="3A2D7A1A"/>
    <w:rsid w:val="3A692ADF"/>
    <w:rsid w:val="3A923B26"/>
    <w:rsid w:val="3ABD5C6D"/>
    <w:rsid w:val="3ACA0A98"/>
    <w:rsid w:val="3ACA3C80"/>
    <w:rsid w:val="3ADD5C61"/>
    <w:rsid w:val="3B8E7980"/>
    <w:rsid w:val="3CA05E05"/>
    <w:rsid w:val="3D0535AB"/>
    <w:rsid w:val="3DEB4836"/>
    <w:rsid w:val="3DEF01B7"/>
    <w:rsid w:val="3FB76397"/>
    <w:rsid w:val="402E3A57"/>
    <w:rsid w:val="40905E46"/>
    <w:rsid w:val="41C815FA"/>
    <w:rsid w:val="421A2D76"/>
    <w:rsid w:val="42830949"/>
    <w:rsid w:val="42E06053"/>
    <w:rsid w:val="43FC159A"/>
    <w:rsid w:val="45185DAE"/>
    <w:rsid w:val="4582291E"/>
    <w:rsid w:val="465D5FD1"/>
    <w:rsid w:val="46A636F7"/>
    <w:rsid w:val="476218AB"/>
    <w:rsid w:val="47F77D5E"/>
    <w:rsid w:val="4815134F"/>
    <w:rsid w:val="49574F07"/>
    <w:rsid w:val="4AD27C51"/>
    <w:rsid w:val="4B16773E"/>
    <w:rsid w:val="4B525B6F"/>
    <w:rsid w:val="4BF70D1F"/>
    <w:rsid w:val="4C147660"/>
    <w:rsid w:val="4C9C083E"/>
    <w:rsid w:val="4D115B26"/>
    <w:rsid w:val="4D3D03C8"/>
    <w:rsid w:val="4D4D0662"/>
    <w:rsid w:val="4D85114F"/>
    <w:rsid w:val="4F234726"/>
    <w:rsid w:val="519613CC"/>
    <w:rsid w:val="5217567C"/>
    <w:rsid w:val="53AA57A5"/>
    <w:rsid w:val="549E0D64"/>
    <w:rsid w:val="563034C0"/>
    <w:rsid w:val="566930C6"/>
    <w:rsid w:val="56F77C07"/>
    <w:rsid w:val="57B0086C"/>
    <w:rsid w:val="585844FD"/>
    <w:rsid w:val="5879537F"/>
    <w:rsid w:val="59034374"/>
    <w:rsid w:val="5999038C"/>
    <w:rsid w:val="5A5907CA"/>
    <w:rsid w:val="5A715FC6"/>
    <w:rsid w:val="5AC558FB"/>
    <w:rsid w:val="5AC66592"/>
    <w:rsid w:val="5B2B0B23"/>
    <w:rsid w:val="5CBC141D"/>
    <w:rsid w:val="5D0B4E13"/>
    <w:rsid w:val="5DE0757A"/>
    <w:rsid w:val="5DE63D68"/>
    <w:rsid w:val="5E08401F"/>
    <w:rsid w:val="5E145FE7"/>
    <w:rsid w:val="5E2B562E"/>
    <w:rsid w:val="5E47553D"/>
    <w:rsid w:val="5E6261E1"/>
    <w:rsid w:val="5EC3209F"/>
    <w:rsid w:val="5ED80E84"/>
    <w:rsid w:val="5F783E00"/>
    <w:rsid w:val="5FEE32EF"/>
    <w:rsid w:val="62A95749"/>
    <w:rsid w:val="62D046AC"/>
    <w:rsid w:val="62EE1251"/>
    <w:rsid w:val="634877EE"/>
    <w:rsid w:val="644D521F"/>
    <w:rsid w:val="65674A25"/>
    <w:rsid w:val="6731395C"/>
    <w:rsid w:val="67695C6E"/>
    <w:rsid w:val="68CA01FA"/>
    <w:rsid w:val="69567192"/>
    <w:rsid w:val="6A3A3665"/>
    <w:rsid w:val="6A52659E"/>
    <w:rsid w:val="6B870356"/>
    <w:rsid w:val="6BE35B73"/>
    <w:rsid w:val="6C2143D4"/>
    <w:rsid w:val="6CCE4B92"/>
    <w:rsid w:val="6D026C8E"/>
    <w:rsid w:val="6D092287"/>
    <w:rsid w:val="6D205895"/>
    <w:rsid w:val="6D7E0FF0"/>
    <w:rsid w:val="6DF758F9"/>
    <w:rsid w:val="70D64348"/>
    <w:rsid w:val="720D5752"/>
    <w:rsid w:val="731743ED"/>
    <w:rsid w:val="740D27BD"/>
    <w:rsid w:val="74126C56"/>
    <w:rsid w:val="74C23D1D"/>
    <w:rsid w:val="75886832"/>
    <w:rsid w:val="773771F4"/>
    <w:rsid w:val="79263F52"/>
    <w:rsid w:val="7AA34743"/>
    <w:rsid w:val="7AC06311"/>
    <w:rsid w:val="7C3F4164"/>
    <w:rsid w:val="7C5D034E"/>
    <w:rsid w:val="7C6D39AE"/>
    <w:rsid w:val="7D002024"/>
    <w:rsid w:val="7D590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tabs>
        <w:tab w:val="left" w:pos="576"/>
      </w:tabs>
      <w:spacing w:before="180"/>
      <w:outlineLvl w:val="1"/>
    </w:pPr>
    <w:rPr>
      <w:sz w:val="32"/>
    </w:rPr>
  </w:style>
  <w:style w:type="paragraph" w:styleId="4">
    <w:name w:val="heading 3"/>
    <w:basedOn w:val="3"/>
    <w:next w:val="1"/>
    <w:qFormat/>
    <w:uiPriority w:val="0"/>
    <w:pPr>
      <w:numPr>
        <w:ilvl w:val="2"/>
      </w:numPr>
      <w:tabs>
        <w:tab w:val="left" w:pos="1146"/>
      </w:tabs>
      <w:spacing w:before="120"/>
      <w:outlineLvl w:val="2"/>
    </w:pPr>
    <w:rPr>
      <w:sz w:val="2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TAN"/>
    <w:basedOn w:val="21"/>
    <w:qFormat/>
    <w:uiPriority w:val="0"/>
    <w:pPr>
      <w:ind w:left="851" w:hanging="851"/>
    </w:pPr>
  </w:style>
  <w:style w:type="paragraph" w:customStyle="1" w:styleId="23">
    <w:name w:val="B1"/>
    <w:basedOn w:val="7"/>
    <w:qFormat/>
    <w:uiPriority w:val="0"/>
  </w:style>
  <w:style w:type="paragraph" w:customStyle="1" w:styleId="24">
    <w:name w:val="B2"/>
    <w:basedOn w:val="6"/>
    <w:qFormat/>
    <w:uiPriority w:val="0"/>
  </w:style>
  <w:style w:type="paragraph" w:customStyle="1" w:styleId="25">
    <w:name w:val="B3"/>
    <w:basedOn w:val="5"/>
    <w:qFormat/>
    <w:uiPriority w:val="0"/>
  </w:style>
  <w:style w:type="paragraph" w:customStyle="1" w:styleId="26">
    <w:name w:val="TF"/>
    <w:basedOn w:val="18"/>
    <w:qFormat/>
    <w:uiPriority w:val="0"/>
    <w:pPr>
      <w:keepNext w:val="0"/>
      <w:spacing w:before="0" w:after="24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2025-10-02T02:13:01Z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